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4769">
      <w:pPr>
        <w:spacing w:before="56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附件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2：</w:t>
      </w:r>
    </w:p>
    <w:p w14:paraId="29BF7DAA">
      <w:pPr>
        <w:pStyle w:val="2"/>
        <w:spacing w:line="270" w:lineRule="auto"/>
      </w:pPr>
    </w:p>
    <w:p w14:paraId="71DD591F">
      <w:pPr>
        <w:pStyle w:val="2"/>
        <w:spacing w:line="270" w:lineRule="auto"/>
      </w:pPr>
    </w:p>
    <w:p w14:paraId="08CD914E">
      <w:pPr>
        <w:pStyle w:val="2"/>
        <w:spacing w:line="270" w:lineRule="auto"/>
      </w:pPr>
    </w:p>
    <w:p w14:paraId="5EADA41B">
      <w:pPr>
        <w:spacing w:before="153" w:line="223" w:lineRule="auto"/>
        <w:ind w:left="1313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hint="eastAsia" w:ascii="宋体" w:hAnsi="宋体" w:eastAsia="宋体" w:cs="宋体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建筑</w:t>
      </w:r>
      <w:r>
        <w:rPr>
          <w:rFonts w:hint="eastAsia" w:ascii="宋体" w:hAnsi="宋体" w:eastAsia="宋体" w:cs="宋体"/>
          <w:sz w:val="47"/>
          <w:szCs w:val="47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建材行</w:t>
      </w:r>
      <w:r>
        <w:rPr>
          <w:rFonts w:hint="eastAsia" w:ascii="宋体" w:hAnsi="宋体" w:eastAsia="宋体" w:cs="宋体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-92"/>
          <w:sz w:val="47"/>
          <w:szCs w:val="47"/>
        </w:rPr>
        <w:t xml:space="preserve"> </w:t>
      </w:r>
      <w:r>
        <w:rPr>
          <w:rFonts w:ascii="宋体" w:hAnsi="宋体" w:eastAsia="宋体" w:cs="宋体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QC</w:t>
      </w:r>
      <w:r>
        <w:rPr>
          <w:rFonts w:ascii="宋体" w:hAnsi="宋体" w:eastAsia="宋体" w:cs="宋体"/>
          <w:spacing w:val="-8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小组成果竞赛</w:t>
      </w:r>
    </w:p>
    <w:p w14:paraId="47BC3FA7">
      <w:pPr>
        <w:spacing w:before="133" w:line="223" w:lineRule="auto"/>
        <w:ind w:left="2111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申报系统操作手册</w:t>
      </w:r>
      <w:r>
        <w:rPr>
          <w:rFonts w:ascii="宋体" w:hAnsi="宋体" w:eastAsia="宋体" w:cs="宋体"/>
          <w:spacing w:val="-10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V1.0</w:t>
      </w:r>
    </w:p>
    <w:p w14:paraId="7969D8E3">
      <w:pPr>
        <w:spacing w:before="232" w:line="224" w:lineRule="auto"/>
        <w:ind w:left="30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（适用推荐单位）</w:t>
      </w:r>
    </w:p>
    <w:p w14:paraId="1D4DC10B">
      <w:pPr>
        <w:pStyle w:val="2"/>
        <w:spacing w:line="264" w:lineRule="auto"/>
      </w:pPr>
    </w:p>
    <w:p w14:paraId="0183C804">
      <w:pPr>
        <w:pStyle w:val="2"/>
        <w:spacing w:line="264" w:lineRule="auto"/>
      </w:pPr>
    </w:p>
    <w:p w14:paraId="2AB1F900">
      <w:pPr>
        <w:pStyle w:val="2"/>
        <w:spacing w:line="264" w:lineRule="auto"/>
      </w:pPr>
    </w:p>
    <w:p w14:paraId="01DF97B1">
      <w:pPr>
        <w:pStyle w:val="2"/>
        <w:spacing w:line="264" w:lineRule="auto"/>
      </w:pPr>
    </w:p>
    <w:p w14:paraId="25B69385">
      <w:pPr>
        <w:pStyle w:val="2"/>
        <w:spacing w:line="264" w:lineRule="auto"/>
      </w:pPr>
    </w:p>
    <w:p w14:paraId="48F2EC7E">
      <w:pPr>
        <w:pStyle w:val="2"/>
        <w:spacing w:line="265" w:lineRule="auto"/>
      </w:pPr>
    </w:p>
    <w:p w14:paraId="69156895">
      <w:pPr>
        <w:spacing w:line="2767" w:lineRule="exact"/>
        <w:ind w:firstLine="3012"/>
      </w:pPr>
      <w:r>
        <w:rPr>
          <w:position w:val="-55"/>
        </w:rPr>
        <w:drawing>
          <wp:inline distT="0" distB="0" distL="0" distR="0">
            <wp:extent cx="1757045" cy="17570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172" cy="175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1C8F32">
      <w:pPr>
        <w:pStyle w:val="2"/>
        <w:spacing w:line="245" w:lineRule="auto"/>
      </w:pPr>
    </w:p>
    <w:p w14:paraId="4D80E7B4">
      <w:pPr>
        <w:pStyle w:val="2"/>
        <w:spacing w:line="245" w:lineRule="auto"/>
      </w:pPr>
    </w:p>
    <w:p w14:paraId="31B3969C">
      <w:pPr>
        <w:pStyle w:val="2"/>
        <w:spacing w:line="245" w:lineRule="auto"/>
      </w:pPr>
    </w:p>
    <w:p w14:paraId="0682FB0A">
      <w:pPr>
        <w:pStyle w:val="2"/>
        <w:spacing w:line="246" w:lineRule="auto"/>
      </w:pPr>
    </w:p>
    <w:p w14:paraId="0E769015">
      <w:pPr>
        <w:pStyle w:val="2"/>
        <w:spacing w:line="246" w:lineRule="auto"/>
      </w:pPr>
    </w:p>
    <w:p w14:paraId="0514ED87">
      <w:pPr>
        <w:pStyle w:val="2"/>
        <w:spacing w:line="246" w:lineRule="auto"/>
      </w:pPr>
    </w:p>
    <w:p w14:paraId="2C1FFB51">
      <w:pPr>
        <w:pStyle w:val="2"/>
        <w:spacing w:line="246" w:lineRule="auto"/>
      </w:pPr>
    </w:p>
    <w:p w14:paraId="292B80AA">
      <w:pPr>
        <w:pStyle w:val="2"/>
        <w:spacing w:line="246" w:lineRule="auto"/>
      </w:pPr>
    </w:p>
    <w:p w14:paraId="4F158B2C">
      <w:pPr>
        <w:pStyle w:val="2"/>
        <w:spacing w:line="246" w:lineRule="auto"/>
      </w:pPr>
    </w:p>
    <w:p w14:paraId="7980DF6C">
      <w:pPr>
        <w:pStyle w:val="2"/>
        <w:spacing w:line="246" w:lineRule="auto"/>
      </w:pPr>
    </w:p>
    <w:p w14:paraId="56700DEE">
      <w:pPr>
        <w:pStyle w:val="2"/>
        <w:spacing w:line="246" w:lineRule="auto"/>
      </w:pPr>
    </w:p>
    <w:p w14:paraId="7E8D893D">
      <w:pPr>
        <w:pStyle w:val="2"/>
        <w:spacing w:line="246" w:lineRule="auto"/>
      </w:pPr>
    </w:p>
    <w:p w14:paraId="41CB9AB6">
      <w:pPr>
        <w:pStyle w:val="2"/>
        <w:spacing w:line="246" w:lineRule="auto"/>
      </w:pPr>
    </w:p>
    <w:p w14:paraId="374A8B8A">
      <w:pPr>
        <w:pStyle w:val="2"/>
        <w:spacing w:line="246" w:lineRule="auto"/>
      </w:pPr>
    </w:p>
    <w:p w14:paraId="39F8D501">
      <w:pPr>
        <w:pStyle w:val="2"/>
        <w:spacing w:line="246" w:lineRule="auto"/>
      </w:pPr>
    </w:p>
    <w:p w14:paraId="7442CAC3">
      <w:pPr>
        <w:pStyle w:val="2"/>
        <w:spacing w:line="246" w:lineRule="auto"/>
      </w:pPr>
    </w:p>
    <w:p w14:paraId="2B52DD8D">
      <w:pPr>
        <w:pStyle w:val="2"/>
        <w:spacing w:line="246" w:lineRule="auto"/>
      </w:pPr>
    </w:p>
    <w:p w14:paraId="27B3A126">
      <w:pPr>
        <w:pStyle w:val="2"/>
        <w:spacing w:line="246" w:lineRule="auto"/>
      </w:pPr>
    </w:p>
    <w:p w14:paraId="1D27227D">
      <w:pPr>
        <w:spacing w:before="101" w:line="227" w:lineRule="auto"/>
        <w:ind w:left="32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山东省建筑业协会</w:t>
      </w:r>
    </w:p>
    <w:p w14:paraId="08F39EB4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249" w:right="1785" w:bottom="0" w:left="1448" w:header="0" w:footer="0" w:gutter="0"/>
          <w:cols w:space="720" w:num="1"/>
        </w:sectPr>
      </w:pPr>
    </w:p>
    <w:p w14:paraId="5EFCC15B">
      <w:pPr>
        <w:pStyle w:val="2"/>
        <w:spacing w:line="376" w:lineRule="auto"/>
      </w:pPr>
    </w:p>
    <w:sdt>
      <w:sdtPr>
        <w:rPr>
          <w:rFonts w:ascii="黑体" w:hAnsi="黑体" w:eastAsia="黑体" w:cs="黑体"/>
          <w:sz w:val="31"/>
          <w:szCs w:val="31"/>
        </w:rPr>
        <w:id w:val="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1"/>
          <w:szCs w:val="31"/>
        </w:rPr>
      </w:sdtEndPr>
      <w:sdtContent>
        <w:p w14:paraId="5C8B4669">
          <w:pPr>
            <w:spacing w:before="101" w:line="227" w:lineRule="auto"/>
            <w:ind w:left="3738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-22"/>
              <w:sz w:val="31"/>
              <w:szCs w:val="31"/>
            </w:rPr>
            <w:t>目</w:t>
          </w:r>
          <w:r>
            <w:rPr>
              <w:rFonts w:ascii="黑体" w:hAnsi="黑体" w:eastAsia="黑体" w:cs="黑体"/>
              <w:spacing w:val="13"/>
              <w:sz w:val="31"/>
              <w:szCs w:val="31"/>
            </w:rPr>
            <w:t xml:space="preserve">  </w:t>
          </w:r>
          <w:r>
            <w:rPr>
              <w:rFonts w:ascii="黑体" w:hAnsi="黑体" w:eastAsia="黑体" w:cs="黑体"/>
              <w:spacing w:val="-22"/>
              <w:sz w:val="31"/>
              <w:szCs w:val="31"/>
            </w:rPr>
            <w:t>录</w:t>
          </w:r>
        </w:p>
        <w:p w14:paraId="341B74E2">
          <w:pPr>
            <w:pStyle w:val="2"/>
            <w:spacing w:line="276" w:lineRule="auto"/>
          </w:pPr>
        </w:p>
        <w:p w14:paraId="296AB3A8">
          <w:pPr>
            <w:pStyle w:val="2"/>
            <w:spacing w:line="276" w:lineRule="auto"/>
          </w:pPr>
        </w:p>
        <w:p w14:paraId="3627366B">
          <w:pPr>
            <w:pStyle w:val="2"/>
            <w:spacing w:line="276" w:lineRule="auto"/>
          </w:pPr>
        </w:p>
        <w:p w14:paraId="5B38C5B4">
          <w:pPr>
            <w:pStyle w:val="2"/>
            <w:spacing w:line="276" w:lineRule="auto"/>
          </w:pPr>
        </w:p>
        <w:p w14:paraId="39549040">
          <w:pPr>
            <w:pStyle w:val="2"/>
            <w:spacing w:line="277" w:lineRule="auto"/>
          </w:pPr>
        </w:p>
        <w:p w14:paraId="18B38B77">
          <w:pPr>
            <w:tabs>
              <w:tab w:val="right" w:leader="dot" w:pos="7470"/>
            </w:tabs>
            <w:spacing w:before="101" w:line="226" w:lineRule="auto"/>
            <w:ind w:left="288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7"/>
              <w:sz w:val="31"/>
              <w:szCs w:val="31"/>
            </w:rPr>
            <w:t>一、系统登录</w:t>
          </w:r>
          <w:r>
            <w:rPr>
              <w:rFonts w:ascii="宋体" w:hAnsi="宋体" w:eastAsia="宋体" w:cs="宋体"/>
              <w:spacing w:val="-134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5"/>
              <w:sz w:val="31"/>
              <w:szCs w:val="31"/>
            </w:rPr>
            <w:fldChar w:fldCharType="end"/>
          </w:r>
        </w:p>
        <w:p w14:paraId="367D7C4E">
          <w:pPr>
            <w:tabs>
              <w:tab w:val="right" w:leader="dot" w:pos="7470"/>
            </w:tabs>
            <w:spacing w:before="244" w:line="224" w:lineRule="auto"/>
            <w:ind w:left="288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7"/>
              <w:sz w:val="31"/>
              <w:szCs w:val="31"/>
            </w:rPr>
            <w:t>二、推荐单位</w:t>
          </w:r>
          <w:r>
            <w:rPr>
              <w:rFonts w:ascii="宋体" w:hAnsi="宋体" w:eastAsia="宋体" w:cs="宋体"/>
              <w:spacing w:val="-134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5"/>
              <w:sz w:val="31"/>
              <w:szCs w:val="31"/>
            </w:rPr>
            <w:fldChar w:fldCharType="end"/>
          </w:r>
        </w:p>
        <w:p w14:paraId="7A5569E9">
          <w:pPr>
            <w:tabs>
              <w:tab w:val="right" w:leader="dot" w:pos="7469"/>
            </w:tabs>
            <w:spacing w:before="247" w:line="224" w:lineRule="auto"/>
            <w:ind w:left="29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8"/>
              <w:sz w:val="31"/>
              <w:szCs w:val="31"/>
            </w:rPr>
            <w:t>（一）推荐单位根据分配的账户登录</w:t>
          </w:r>
          <w:r>
            <w:rPr>
              <w:rFonts w:ascii="宋体" w:hAnsi="宋体" w:eastAsia="宋体" w:cs="宋体"/>
              <w:spacing w:val="-130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3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3"/>
              <w:sz w:val="31"/>
              <w:szCs w:val="31"/>
            </w:rPr>
            <w:fldChar w:fldCharType="end"/>
          </w:r>
        </w:p>
      </w:sdtContent>
    </w:sdt>
    <w:p w14:paraId="07B67864">
      <w:pPr>
        <w:spacing w:before="247" w:line="224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（二）推荐单位基本操作流程..................2</w:t>
      </w:r>
    </w:p>
    <w:p w14:paraId="608375D6">
      <w:pPr>
        <w:spacing w:before="248" w:line="225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（三）竞赛管理..............................3</w:t>
      </w:r>
    </w:p>
    <w:p w14:paraId="2A163883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12FEF9D">
      <w:pPr>
        <w:spacing w:before="65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一、系统登录</w:t>
      </w:r>
    </w:p>
    <w:p w14:paraId="68F6C640">
      <w:pPr>
        <w:spacing w:before="243" w:line="228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从山东省建筑业协会网站</w:t>
      </w: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“活动申报</w:t>
      </w:r>
      <w:r>
        <w:rPr>
          <w:rFonts w:ascii="宋体" w:hAnsi="宋体" w:eastAsia="宋体" w:cs="宋体"/>
          <w:spacing w:val="-9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栏进入。</w:t>
      </w:r>
    </w:p>
    <w:p w14:paraId="0F9EDC1A">
      <w:pPr>
        <w:spacing w:before="89" w:line="6233" w:lineRule="exact"/>
      </w:pPr>
      <w:r>
        <w:rPr>
          <w:position w:val="-124"/>
        </w:rPr>
        <w:drawing>
          <wp:inline distT="0" distB="0" distL="0" distR="0">
            <wp:extent cx="5813425" cy="39573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4059" cy="395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23A1">
      <w:pPr>
        <w:spacing w:before="158" w:line="228" w:lineRule="auto"/>
        <w:ind w:left="6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二、推荐单位</w:t>
      </w:r>
    </w:p>
    <w:p w14:paraId="455F6EFE">
      <w:pPr>
        <w:spacing w:before="241" w:line="231" w:lineRule="auto"/>
        <w:ind w:left="6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（一）推荐单位根据分配的账户登录</w:t>
      </w:r>
    </w:p>
    <w:p w14:paraId="43FDBD7B">
      <w:pPr>
        <w:pStyle w:val="2"/>
        <w:spacing w:line="454" w:lineRule="auto"/>
      </w:pPr>
    </w:p>
    <w:p w14:paraId="6D528897">
      <w:pPr>
        <w:spacing w:line="4531" w:lineRule="exact"/>
      </w:pPr>
      <w:r>
        <w:rPr>
          <w:position w:val="-90"/>
        </w:rPr>
        <w:drawing>
          <wp:inline distT="0" distB="0" distL="0" distR="0">
            <wp:extent cx="5989320" cy="28771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287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D75DE">
      <w:pPr>
        <w:spacing w:line="4531" w:lineRule="exact"/>
        <w:sectPr>
          <w:footerReference r:id="rId5" w:type="default"/>
          <w:pgSz w:w="11906" w:h="16839"/>
          <w:pgMar w:top="1222" w:right="1057" w:bottom="1135" w:left="1416" w:header="0" w:footer="915" w:gutter="0"/>
          <w:cols w:space="720" w:num="1"/>
        </w:sectPr>
      </w:pPr>
    </w:p>
    <w:p w14:paraId="1C27C4AF">
      <w:pPr>
        <w:spacing w:before="65" w:line="229" w:lineRule="auto"/>
        <w:ind w:left="66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（二）推荐单位基本操作流程</w:t>
      </w:r>
    </w:p>
    <w:p w14:paraId="1F53AF14">
      <w:pPr>
        <w:spacing w:before="239" w:line="225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第一步：审核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小组成果资料。</w:t>
      </w:r>
    </w:p>
    <w:p w14:paraId="5CA8DF0A">
      <w:pPr>
        <w:spacing w:before="246" w:line="225" w:lineRule="auto"/>
        <w:ind w:left="19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路径：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小组成果竞赛-【审核】</w:t>
      </w:r>
    </w:p>
    <w:p w14:paraId="7B6225DC">
      <w:pPr>
        <w:spacing w:before="246" w:line="224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第二步：下载推荐汇总表，调整格式，打印盖</w:t>
      </w:r>
      <w:r>
        <w:rPr>
          <w:rFonts w:ascii="宋体" w:hAnsi="宋体" w:eastAsia="宋体" w:cs="宋体"/>
          <w:spacing w:val="8"/>
          <w:sz w:val="31"/>
          <w:szCs w:val="31"/>
        </w:rPr>
        <w:t>章。</w:t>
      </w:r>
    </w:p>
    <w:p w14:paraId="5087AA9A">
      <w:pPr>
        <w:spacing w:before="248" w:line="624" w:lineRule="exact"/>
        <w:ind w:left="19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路径：竞赛管理-【下载推荐汇总表】</w:t>
      </w:r>
    </w:p>
    <w:p w14:paraId="1E3D591E">
      <w:pPr>
        <w:spacing w:before="1" w:line="223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第三步：上传推荐资料。</w:t>
      </w:r>
    </w:p>
    <w:p w14:paraId="07E44F2B">
      <w:pPr>
        <w:spacing w:before="248" w:line="624" w:lineRule="exact"/>
        <w:ind w:left="19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路径：竞赛管理-【上传推荐资料】</w:t>
      </w:r>
    </w:p>
    <w:p w14:paraId="29F0979C">
      <w:pPr>
        <w:spacing w:before="2" w:line="223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第四步：统一推荐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小组成果。</w:t>
      </w:r>
    </w:p>
    <w:p w14:paraId="7936EF8F">
      <w:pPr>
        <w:spacing w:before="248" w:line="224" w:lineRule="auto"/>
        <w:ind w:left="19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路径： 竞赛管理-【统一推荐】</w:t>
      </w:r>
    </w:p>
    <w:p w14:paraId="08592E22">
      <w:pPr>
        <w:pStyle w:val="2"/>
        <w:spacing w:line="255" w:lineRule="auto"/>
      </w:pPr>
    </w:p>
    <w:p w14:paraId="7AD5D14C">
      <w:pPr>
        <w:pStyle w:val="2"/>
        <w:spacing w:line="255" w:lineRule="auto"/>
      </w:pPr>
    </w:p>
    <w:p w14:paraId="5D7C39F2">
      <w:pPr>
        <w:pStyle w:val="2"/>
        <w:spacing w:line="256" w:lineRule="auto"/>
      </w:pPr>
    </w:p>
    <w:p w14:paraId="30312654">
      <w:pPr>
        <w:spacing w:before="101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注意事项：</w:t>
      </w:r>
    </w:p>
    <w:p w14:paraId="16C60B83">
      <w:pPr>
        <w:spacing w:before="243" w:line="624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3"/>
          <w:sz w:val="31"/>
          <w:szCs w:val="31"/>
        </w:rPr>
        <w:t>1.统一推荐前，本推荐单位所有</w:t>
      </w:r>
      <w:r>
        <w:rPr>
          <w:rFonts w:ascii="宋体" w:hAnsi="宋体" w:eastAsia="宋体" w:cs="宋体"/>
          <w:spacing w:val="-56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23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position w:val="23"/>
          <w:sz w:val="31"/>
          <w:szCs w:val="31"/>
        </w:rPr>
        <w:t>小组成果都应审核完成。</w:t>
      </w:r>
    </w:p>
    <w:p w14:paraId="5ED1F7FE">
      <w:pPr>
        <w:spacing w:before="1" w:line="223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2.统一推荐后，不再接受申报单位的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小组成果提交到本推</w:t>
      </w:r>
    </w:p>
    <w:p w14:paraId="4AA92803">
      <w:pPr>
        <w:spacing w:before="248" w:line="624" w:lineRule="exact"/>
        <w:ind w:left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荐单位，也不可能再次修改。</w:t>
      </w:r>
    </w:p>
    <w:p w14:paraId="2E0246A3">
      <w:pPr>
        <w:spacing w:before="2" w:line="223" w:lineRule="auto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3.统一推荐后，退回。</w:t>
      </w:r>
    </w:p>
    <w:p w14:paraId="08C638F0">
      <w:pPr>
        <w:spacing w:before="247" w:line="372" w:lineRule="auto"/>
        <w:ind w:left="3" w:firstLine="65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（1）单项成果退回：被省协会退回的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小组成果是“</w:t>
      </w:r>
      <w:r>
        <w:rPr>
          <w:rFonts w:ascii="宋体" w:hAnsi="宋体" w:eastAsia="宋体" w:cs="宋体"/>
          <w:spacing w:val="11"/>
          <w:sz w:val="31"/>
          <w:szCs w:val="31"/>
        </w:rPr>
        <w:t>待审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核</w:t>
      </w:r>
      <w:r>
        <w:rPr>
          <w:rFonts w:ascii="宋体" w:hAnsi="宋体" w:eastAsia="宋体" w:cs="宋体"/>
          <w:spacing w:val="-9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”状态，推荐单位需要退回给申报单位，</w:t>
      </w:r>
      <w:r>
        <w:rPr>
          <w:rFonts w:ascii="宋体" w:hAnsi="宋体" w:eastAsia="宋体" w:cs="宋体"/>
          <w:spacing w:val="-9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申报单位方可重新修</w:t>
      </w:r>
    </w:p>
    <w:p w14:paraId="30856A84">
      <w:pPr>
        <w:spacing w:before="1" w:line="223" w:lineRule="auto"/>
        <w:ind w:left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改，修改完成后，推荐单位可以重新审核。</w:t>
      </w:r>
    </w:p>
    <w:p w14:paraId="53D19BCF">
      <w:pPr>
        <w:spacing w:before="248" w:line="624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如果审核后退回申报单位，</w:t>
      </w:r>
      <w:r>
        <w:rPr>
          <w:rFonts w:ascii="宋体" w:hAnsi="宋体" w:eastAsia="宋体" w:cs="宋体"/>
          <w:spacing w:val="-89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申报单位编辑、提交后，推荐单</w:t>
      </w:r>
    </w:p>
    <w:p w14:paraId="68A63FF5">
      <w:pPr>
        <w:spacing w:before="2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位审核后，该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小组成果状态为“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已推荐</w:t>
      </w:r>
      <w:r>
        <w:rPr>
          <w:rFonts w:ascii="宋体" w:hAnsi="宋体" w:eastAsia="宋体" w:cs="宋体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”。</w:t>
      </w:r>
    </w:p>
    <w:p w14:paraId="6F575D0B">
      <w:pPr>
        <w:spacing w:line="223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6" w:h="16839"/>
          <w:pgMar w:top="1220" w:right="1418" w:bottom="1136" w:left="1428" w:header="0" w:footer="915" w:gutter="0"/>
          <w:cols w:space="720" w:num="1"/>
        </w:sectPr>
      </w:pPr>
    </w:p>
    <w:p w14:paraId="2CCC448E">
      <w:pPr>
        <w:spacing w:line="3676" w:lineRule="exact"/>
      </w:pPr>
      <w:r>
        <w:rPr>
          <w:position w:val="-73"/>
        </w:rPr>
        <w:drawing>
          <wp:inline distT="0" distB="0" distL="0" distR="0">
            <wp:extent cx="6359525" cy="23342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9652" cy="233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F527D">
      <w:pPr>
        <w:spacing w:before="192" w:line="624" w:lineRule="exact"/>
        <w:ind w:left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单项退回的成果推荐单位再次审核、推荐后，</w:t>
      </w:r>
      <w:r>
        <w:rPr>
          <w:rFonts w:ascii="宋体" w:hAnsi="宋体" w:eastAsia="宋体" w:cs="宋体"/>
          <w:spacing w:val="-132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宋体" w:hAnsi="宋体" w:eastAsia="宋体" w:cs="宋体"/>
          <w:spacing w:val="-102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已退回</w:t>
      </w:r>
      <w:r>
        <w:rPr>
          <w:rFonts w:ascii="宋体" w:hAnsi="宋体" w:eastAsia="宋体" w:cs="宋体"/>
          <w:spacing w:val="-106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”仍</w:t>
      </w:r>
    </w:p>
    <w:p w14:paraId="2DC30BC9">
      <w:pPr>
        <w:spacing w:before="1" w:line="223" w:lineRule="auto"/>
        <w:ind w:left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会存在，表示该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小组成果曾经被退回过</w:t>
      </w:r>
      <w:r>
        <w:rPr>
          <w:rFonts w:ascii="宋体" w:hAnsi="宋体" w:eastAsia="宋体" w:cs="宋体"/>
          <w:spacing w:val="8"/>
          <w:sz w:val="31"/>
          <w:szCs w:val="31"/>
        </w:rPr>
        <w:t>。</w:t>
      </w:r>
    </w:p>
    <w:p w14:paraId="379E174F">
      <w:pPr>
        <w:spacing w:before="247" w:line="624" w:lineRule="exact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3"/>
          <w:sz w:val="31"/>
          <w:szCs w:val="31"/>
        </w:rPr>
        <w:t>（2）全部成果退回：被省协会退回后，推荐单位显示“待推</w:t>
      </w:r>
    </w:p>
    <w:p w14:paraId="06E950C6">
      <w:pPr>
        <w:spacing w:before="2" w:line="223" w:lineRule="auto"/>
        <w:ind w:left="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荐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”状态，推荐单位修改完成后，可以重新统一推荐。</w:t>
      </w:r>
    </w:p>
    <w:p w14:paraId="1996904F">
      <w:pPr>
        <w:spacing w:before="247" w:line="229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（三）竞赛管理</w:t>
      </w:r>
    </w:p>
    <w:p w14:paraId="6C3E7905">
      <w:pPr>
        <w:spacing w:before="240" w:line="225" w:lineRule="auto"/>
        <w:ind w:left="6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1.状态数量显示</w:t>
      </w:r>
    </w:p>
    <w:p w14:paraId="1E4713A7">
      <w:pPr>
        <w:pStyle w:val="2"/>
        <w:spacing w:line="423" w:lineRule="auto"/>
      </w:pPr>
    </w:p>
    <w:p w14:paraId="658C35C0">
      <w:pPr>
        <w:spacing w:line="3384" w:lineRule="exact"/>
      </w:pPr>
      <w:r>
        <w:rPr>
          <w:position w:val="-67"/>
        </w:rPr>
        <w:drawing>
          <wp:inline distT="0" distB="0" distL="0" distR="0">
            <wp:extent cx="6278880" cy="21488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8AE9F">
      <w:pPr>
        <w:pStyle w:val="2"/>
        <w:spacing w:line="388" w:lineRule="auto"/>
      </w:pPr>
    </w:p>
    <w:p w14:paraId="59B7C49A">
      <w:pPr>
        <w:spacing w:before="102" w:line="225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已提交</w:t>
      </w:r>
      <w:r>
        <w:rPr>
          <w:rFonts w:ascii="宋体" w:hAnsi="宋体" w:eastAsia="宋体" w:cs="宋体"/>
          <w:spacing w:val="6"/>
          <w:sz w:val="31"/>
          <w:szCs w:val="31"/>
        </w:rPr>
        <w:t>:申报单位所有提交的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小组成果数量（含已退回</w:t>
      </w:r>
      <w:r>
        <w:rPr>
          <w:rFonts w:ascii="宋体" w:hAnsi="宋体" w:eastAsia="宋体" w:cs="宋体"/>
          <w:sz w:val="31"/>
          <w:szCs w:val="31"/>
        </w:rPr>
        <w:t>）；</w:t>
      </w:r>
    </w:p>
    <w:p w14:paraId="43FF93F4">
      <w:pPr>
        <w:spacing w:before="246" w:line="225" w:lineRule="auto"/>
        <w:ind w:left="6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已退回</w:t>
      </w:r>
      <w:r>
        <w:rPr>
          <w:rFonts w:ascii="宋体" w:hAnsi="宋体" w:eastAsia="宋体" w:cs="宋体"/>
          <w:spacing w:val="1"/>
          <w:sz w:val="31"/>
          <w:szCs w:val="31"/>
        </w:rPr>
        <w:t>:已提交的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小组成果，处于“</w:t>
      </w:r>
      <w:r>
        <w:rPr>
          <w:rFonts w:ascii="宋体" w:hAnsi="宋体" w:eastAsia="宋体" w:cs="宋体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已退回</w:t>
      </w:r>
      <w:r>
        <w:rPr>
          <w:rFonts w:ascii="宋体" w:hAnsi="宋体" w:eastAsia="宋体" w:cs="宋体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”状态的数量；</w:t>
      </w:r>
    </w:p>
    <w:p w14:paraId="3DE8A3FD">
      <w:pPr>
        <w:spacing w:before="247" w:line="224" w:lineRule="auto"/>
        <w:ind w:left="6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已审核</w:t>
      </w:r>
      <w:r>
        <w:rPr>
          <w:rFonts w:ascii="宋体" w:hAnsi="宋体" w:eastAsia="宋体" w:cs="宋体"/>
          <w:sz w:val="31"/>
          <w:szCs w:val="31"/>
        </w:rPr>
        <w:t>:已经审核过的</w:t>
      </w:r>
      <w:r>
        <w:rPr>
          <w:rFonts w:ascii="宋体" w:hAnsi="宋体" w:eastAsia="宋体" w:cs="宋体"/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小组成果数量（不包含省协会退回</w:t>
      </w:r>
      <w:r>
        <w:rPr>
          <w:rFonts w:ascii="宋体" w:hAnsi="宋体" w:eastAsia="宋体" w:cs="宋体"/>
          <w:spacing w:val="-77"/>
          <w:sz w:val="31"/>
          <w:szCs w:val="31"/>
        </w:rPr>
        <w:t>）；</w:t>
      </w:r>
    </w:p>
    <w:p w14:paraId="5DFAA56C">
      <w:pPr>
        <w:spacing w:before="248" w:line="224" w:lineRule="auto"/>
        <w:ind w:left="6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已推荐</w:t>
      </w:r>
      <w:r>
        <w:rPr>
          <w:rFonts w:ascii="宋体" w:hAnsi="宋体" w:eastAsia="宋体" w:cs="宋体"/>
          <w:spacing w:val="2"/>
          <w:sz w:val="31"/>
          <w:szCs w:val="31"/>
        </w:rPr>
        <w:t>:已推荐，“</w:t>
      </w:r>
      <w:r>
        <w:rPr>
          <w:rFonts w:ascii="宋体" w:hAnsi="宋体" w:eastAsia="宋体" w:cs="宋体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已推荐</w:t>
      </w:r>
      <w:r>
        <w:rPr>
          <w:rFonts w:ascii="宋体" w:hAnsi="宋体" w:eastAsia="宋体" w:cs="宋体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”状态的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小组成果数量。</w:t>
      </w:r>
    </w:p>
    <w:p w14:paraId="258A9DC1"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1906" w:h="16839"/>
          <w:pgMar w:top="1161" w:right="474" w:bottom="1136" w:left="1416" w:header="0" w:footer="916" w:gutter="0"/>
          <w:cols w:space="720" w:num="1"/>
        </w:sectPr>
      </w:pPr>
    </w:p>
    <w:p w14:paraId="7F6AC9A2">
      <w:pPr>
        <w:pStyle w:val="2"/>
        <w:spacing w:line="376" w:lineRule="auto"/>
      </w:pPr>
    </w:p>
    <w:p w14:paraId="04F59DE0">
      <w:pPr>
        <w:spacing w:before="101" w:line="224" w:lineRule="auto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2.推荐汇总表格式调整后格式如下：</w:t>
      </w:r>
    </w:p>
    <w:p w14:paraId="23AB4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360" w:lineRule="auto"/>
        <w:ind w:left="666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（1）推荐汇总表导出的顺序是根据申报单位申</w:t>
      </w:r>
      <w:r>
        <w:rPr>
          <w:rFonts w:ascii="宋体" w:hAnsi="宋体" w:eastAsia="宋体" w:cs="宋体"/>
          <w:spacing w:val="7"/>
          <w:position w:val="23"/>
          <w:sz w:val="31"/>
          <w:szCs w:val="31"/>
        </w:rPr>
        <w:t>报的顺序，需</w:t>
      </w:r>
    </w:p>
    <w:p w14:paraId="4523AA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21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导出后在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Excel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表格中调整推荐顺序后盖章上传。</w:t>
      </w:r>
    </w:p>
    <w:p w14:paraId="4069CB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360" w:lineRule="auto"/>
        <w:ind w:left="0" w:leftChars="0" w:firstLine="738" w:firstLineChars="228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（2）推荐汇总表与推荐函需盖章后生成 PDF 版</w:t>
      </w:r>
      <w:r>
        <w:rPr>
          <w:rFonts w:hint="eastAsia" w:ascii="宋体" w:hAnsi="宋体" w:eastAsia="宋体" w:cs="宋体"/>
          <w:spacing w:val="7"/>
          <w:sz w:val="31"/>
          <w:szCs w:val="31"/>
          <w:lang w:val="en-US" w:eastAsia="zh-CN"/>
        </w:rPr>
        <w:t>及word版</w:t>
      </w:r>
      <w:r>
        <w:rPr>
          <w:rFonts w:ascii="宋体" w:hAnsi="宋体" w:eastAsia="宋体" w:cs="宋体"/>
          <w:spacing w:val="7"/>
          <w:sz w:val="31"/>
          <w:szCs w:val="31"/>
        </w:rPr>
        <w:t>上传至“ 申报</w:t>
      </w:r>
      <w:r>
        <w:rPr>
          <w:rFonts w:ascii="宋体" w:hAnsi="宋体" w:eastAsia="宋体" w:cs="宋体"/>
          <w:spacing w:val="5"/>
          <w:sz w:val="31"/>
          <w:szCs w:val="31"/>
        </w:rPr>
        <w:t>资料上传</w:t>
      </w:r>
      <w:r>
        <w:rPr>
          <w:rFonts w:ascii="宋体" w:hAnsi="宋体" w:eastAsia="宋体" w:cs="宋体"/>
          <w:spacing w:val="-10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”，纸质版的邮寄到省协会。</w:t>
      </w:r>
    </w:p>
    <w:p w14:paraId="6B8DFA27">
      <w:pPr>
        <w:pStyle w:val="2"/>
        <w:spacing w:line="244" w:lineRule="auto"/>
      </w:pPr>
    </w:p>
    <w:p w14:paraId="7709F5CF">
      <w:pPr>
        <w:pStyle w:val="2"/>
        <w:spacing w:line="245" w:lineRule="auto"/>
      </w:pPr>
      <w:r>
        <w:drawing>
          <wp:inline distT="0" distB="0" distL="114300" distR="114300">
            <wp:extent cx="5835650" cy="3165475"/>
            <wp:effectExtent l="0" t="0" r="1270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264F2">
      <w:pPr>
        <w:pStyle w:val="2"/>
        <w:spacing w:line="245" w:lineRule="auto"/>
      </w:pPr>
    </w:p>
    <w:p w14:paraId="3169B744">
      <w:pPr>
        <w:spacing w:before="1" w:line="3369" w:lineRule="exact"/>
      </w:pPr>
    </w:p>
    <w:sectPr>
      <w:footerReference r:id="rId8" w:type="default"/>
      <w:pgSz w:w="11906" w:h="16839"/>
      <w:pgMar w:top="1431" w:right="1288" w:bottom="1134" w:left="1416" w:header="0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69B36">
    <w:pPr>
      <w:spacing w:line="171" w:lineRule="auto"/>
      <w:ind w:left="449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69DA2">
    <w:pPr>
      <w:spacing w:line="172" w:lineRule="auto"/>
      <w:ind w:left="447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8AEBA">
    <w:pPr>
      <w:spacing w:line="172" w:lineRule="auto"/>
      <w:ind w:left="448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9D7DC">
    <w:pPr>
      <w:spacing w:line="171" w:lineRule="auto"/>
      <w:ind w:left="4481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wMjZlODE1MGQyZmExMzhhMTg5MDIzNmIwZWFhYzUifQ=="/>
  </w:docVars>
  <w:rsids>
    <w:rsidRoot w:val="00000000"/>
    <w:rsid w:val="02DC4D65"/>
    <w:rsid w:val="2A147736"/>
    <w:rsid w:val="4182763D"/>
    <w:rsid w:val="66A808BA"/>
    <w:rsid w:val="75CD2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806</Words>
  <Characters>884</Characters>
  <TotalTime>1</TotalTime>
  <ScaleCrop>false</ScaleCrop>
  <LinksUpToDate>false</LinksUpToDate>
  <CharactersWithSpaces>942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2023-03-09T15:15:00Z</dcterms:created>
  <dc:creator>陈工作</dc:creator>
  <cp:lastModifiedBy>王琳</cp:lastModifiedBy>
  <dcterms:modified xsi:type="dcterms:W3CDTF">2025-03-12T02:42:40Z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2024-02-17T11:28:35Z</vt:filetime>
  </property>
  <property fmtid="{D5CDD505-2E9C-101B-9397-08002B2CF9AE}" pid="4" name="KSOProductBuildVer">
    <vt:lpwstr>2052-12.1.0.20305</vt:lpwstr>
  </property>
  <property fmtid="{D5CDD505-2E9C-101B-9397-08002B2CF9AE}" pid="5" name="ICV">
    <vt:lpwstr>F05BA368C86449148F8BDA2086C26A3B_12</vt:lpwstr>
  </property>
  <property fmtid="{D5CDD505-2E9C-101B-9397-08002B2CF9AE}" pid="6" name="KSOTemplateDocerSaveRecord">
    <vt:lpwstr>eyJoZGlkIjoiMjNjNmUyNjZiMGYzMjRhN2FjNDcwYjVhZmMyYzU3OGQiLCJ1c2VySWQiOiIxNDU1NDM3In0=</vt:lpwstr>
  </property>
</Properties>
</file>